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C5D6E" w14:textId="31AEA13D" w:rsidR="001E356D" w:rsidRPr="00AB436F" w:rsidRDefault="21C73F07" w:rsidP="4D81C955">
      <w:pPr>
        <w:spacing w:line="259" w:lineRule="auto"/>
        <w:jc w:val="both"/>
        <w:rPr>
          <w:rFonts w:ascii="Times New Roman" w:eastAsia="Times New Roman" w:hAnsi="Times New Roman" w:cs="Times New Roman"/>
          <w:b/>
          <w:bCs/>
          <w:color w:val="AA0000"/>
          <w:sz w:val="24"/>
          <w:szCs w:val="24"/>
        </w:rPr>
      </w:pPr>
      <w:r w:rsidRPr="00AB436F">
        <w:rPr>
          <w:rFonts w:ascii="Times New Roman" w:eastAsia="Times New Roman" w:hAnsi="Times New Roman" w:cs="Times New Roman"/>
          <w:b/>
          <w:bCs/>
          <w:color w:val="AA0000"/>
          <w:sz w:val="24"/>
          <w:szCs w:val="24"/>
        </w:rPr>
        <w:t>Proposed Revisions to the Perkins State Plan (highlighted in red)</w:t>
      </w:r>
      <w:r w:rsidR="27EFE136" w:rsidRPr="00AB436F">
        <w:rPr>
          <w:rFonts w:ascii="Times New Roman" w:eastAsia="Times New Roman" w:hAnsi="Times New Roman" w:cs="Times New Roman"/>
          <w:b/>
          <w:bCs/>
          <w:color w:val="AA0000"/>
          <w:sz w:val="24"/>
          <w:szCs w:val="24"/>
        </w:rPr>
        <w:t xml:space="preserve"> </w:t>
      </w:r>
      <w:r w:rsidR="40BBBB07" w:rsidRPr="00AB436F">
        <w:rPr>
          <w:rFonts w:ascii="Times New Roman" w:eastAsia="Times New Roman" w:hAnsi="Times New Roman" w:cs="Times New Roman"/>
          <w:b/>
          <w:bCs/>
          <w:color w:val="AA0000"/>
          <w:sz w:val="24"/>
          <w:szCs w:val="24"/>
        </w:rPr>
        <w:t>for hte 2027-2028 program year</w:t>
      </w:r>
    </w:p>
    <w:p w14:paraId="3B9BE2F5" w14:textId="77777777" w:rsidR="0000526C" w:rsidRPr="00AB436F" w:rsidRDefault="0000526C" w:rsidP="001E356D">
      <w:pPr>
        <w:spacing w:line="259" w:lineRule="auto"/>
        <w:jc w:val="both"/>
        <w:rPr>
          <w:rFonts w:ascii="Times New Roman" w:eastAsia="Times New Roman" w:hAnsi="Times New Roman" w:cs="Times New Roman"/>
          <w:b/>
          <w:color w:val="AA0000"/>
          <w:sz w:val="24"/>
          <w:szCs w:val="24"/>
        </w:rPr>
      </w:pPr>
    </w:p>
    <w:p w14:paraId="47B70C30" w14:textId="41BD69B0" w:rsidR="001E356D" w:rsidRPr="00231F3B" w:rsidRDefault="001E356D" w:rsidP="001E356D">
      <w:pPr>
        <w:spacing w:line="259" w:lineRule="auto"/>
        <w:jc w:val="both"/>
        <w:rPr>
          <w:rFonts w:ascii="Times New Roman" w:eastAsia="Times New Roman" w:hAnsi="Times New Roman" w:cs="Times New Roman"/>
          <w:b/>
          <w:sz w:val="24"/>
          <w:szCs w:val="24"/>
        </w:rPr>
      </w:pPr>
      <w:r w:rsidRPr="00231F3B">
        <w:rPr>
          <w:rFonts w:ascii="Times New Roman" w:eastAsia="Times New Roman" w:hAnsi="Times New Roman" w:cs="Times New Roman"/>
          <w:b/>
          <w:sz w:val="24"/>
          <w:szCs w:val="24"/>
        </w:rPr>
        <w:t>Rural Innovation Grants</w:t>
      </w:r>
    </w:p>
    <w:p w14:paraId="545B7104" w14:textId="77777777" w:rsidR="001E356D" w:rsidRPr="00231F3B" w:rsidRDefault="001E356D" w:rsidP="001E356D">
      <w:pPr>
        <w:spacing w:after="0" w:line="259" w:lineRule="auto"/>
        <w:jc w:val="both"/>
        <w:rPr>
          <w:rFonts w:ascii="Times New Roman" w:eastAsia="Times New Roman" w:hAnsi="Times New Roman" w:cs="Times New Roman"/>
          <w:sz w:val="24"/>
          <w:szCs w:val="24"/>
        </w:rPr>
      </w:pPr>
      <w:r w:rsidRPr="00231F3B">
        <w:rPr>
          <w:rFonts w:ascii="Times New Roman" w:eastAsia="Times New Roman" w:hAnsi="Times New Roman" w:cs="Times New Roman"/>
          <w:sz w:val="24"/>
          <w:szCs w:val="24"/>
        </w:rPr>
        <w:t>Florida has determined that its general allocation adversely impacts rural districts because of their size. Specifically, the model for allocation of funds based on population results in allocations for small population districts that are not sufficient to make a meaningful impact on the availability and quality of CTE programs in those areas. Many of these rural areas include a high percentage of students who are members of subgroups or who are economically disadvantaged. The state therefore resolved that a primary goal in the use of state reserve funds would be to provide additional funding to rural areas through rural innovation grants.</w:t>
      </w:r>
    </w:p>
    <w:p w14:paraId="530B8FA7" w14:textId="77777777" w:rsidR="001E356D" w:rsidRPr="00231F3B" w:rsidRDefault="001E356D" w:rsidP="001E356D">
      <w:pPr>
        <w:spacing w:after="0" w:line="259" w:lineRule="auto"/>
        <w:rPr>
          <w:rFonts w:ascii="Times New Roman" w:eastAsia="Times New Roman" w:hAnsi="Times New Roman" w:cs="Times New Roman"/>
          <w:b/>
          <w:sz w:val="24"/>
          <w:szCs w:val="24"/>
        </w:rPr>
      </w:pPr>
    </w:p>
    <w:p w14:paraId="7D92D467" w14:textId="2955FAC5" w:rsidR="001E356D" w:rsidRPr="00231F3B" w:rsidRDefault="001E356D" w:rsidP="001E356D">
      <w:pPr>
        <w:spacing w:after="0" w:line="259" w:lineRule="auto"/>
        <w:jc w:val="both"/>
        <w:rPr>
          <w:rFonts w:ascii="Times New Roman" w:eastAsia="Times New Roman" w:hAnsi="Times New Roman" w:cs="Times New Roman"/>
          <w:sz w:val="24"/>
          <w:szCs w:val="24"/>
        </w:rPr>
      </w:pPr>
      <w:r w:rsidRPr="00231F3B">
        <w:rPr>
          <w:rFonts w:ascii="Times New Roman" w:eastAsia="Times New Roman" w:hAnsi="Times New Roman" w:cs="Times New Roman"/>
          <w:sz w:val="24"/>
          <w:szCs w:val="24"/>
        </w:rPr>
        <w:t>The rural grants will be based upon geographic identifications of counties classifieds by the state as rural</w:t>
      </w:r>
      <w:r w:rsidR="0000526C" w:rsidRPr="00231F3B">
        <w:rPr>
          <w:rFonts w:ascii="Times New Roman" w:eastAsia="Times New Roman" w:hAnsi="Times New Roman" w:cs="Times New Roman"/>
          <w:sz w:val="24"/>
          <w:szCs w:val="24"/>
        </w:rPr>
        <w:t xml:space="preserve"> </w:t>
      </w:r>
      <w:r w:rsidR="0000526C" w:rsidRPr="00AB436F">
        <w:rPr>
          <w:rFonts w:ascii="Times New Roman" w:eastAsia="Times New Roman" w:hAnsi="Times New Roman" w:cs="Times New Roman"/>
          <w:color w:val="AA0000"/>
          <w:sz w:val="24"/>
          <w:szCs w:val="24"/>
          <w:u w:val="single"/>
        </w:rPr>
        <w:t>and rural municipalities in nonrural counties</w:t>
      </w:r>
      <w:r w:rsidRPr="00231F3B">
        <w:rPr>
          <w:rFonts w:ascii="Times New Roman" w:eastAsia="Times New Roman" w:hAnsi="Times New Roman" w:cs="Times New Roman"/>
          <w:sz w:val="24"/>
          <w:szCs w:val="24"/>
        </w:rPr>
        <w:t xml:space="preserve">. Rural areas are defined by the state and documented by the Rural Economic Development Initiative (REDI), which recognizes those rural or economically distressed counties or communities designated pursuant to sections 288.0656 and 288.06561, Florida Statutes, as REDI qualified. The REDI program is administered </w:t>
      </w:r>
      <w:r w:rsidR="005C5CA7" w:rsidRPr="00AB436F">
        <w:rPr>
          <w:rFonts w:ascii="Times New Roman" w:eastAsia="Times New Roman" w:hAnsi="Times New Roman" w:cs="Times New Roman"/>
          <w:color w:val="AA0000"/>
          <w:sz w:val="24"/>
          <w:szCs w:val="24"/>
        </w:rPr>
        <w:t xml:space="preserve">by </w:t>
      </w:r>
      <w:r w:rsidR="005C5CA7" w:rsidRPr="00AB436F">
        <w:rPr>
          <w:rFonts w:ascii="Times New Roman" w:eastAsia="Times New Roman" w:hAnsi="Times New Roman" w:cs="Times New Roman"/>
          <w:color w:val="AA0000"/>
          <w:sz w:val="24"/>
          <w:szCs w:val="24"/>
          <w:u w:val="single"/>
        </w:rPr>
        <w:t>Florida Commerce</w:t>
      </w:r>
      <w:r w:rsidR="004B5C53" w:rsidRPr="00AB436F">
        <w:rPr>
          <w:rFonts w:ascii="Times New Roman" w:eastAsia="Times New Roman" w:hAnsi="Times New Roman" w:cs="Times New Roman"/>
          <w:color w:val="AA0000"/>
          <w:sz w:val="24"/>
          <w:szCs w:val="24"/>
        </w:rPr>
        <w:t xml:space="preserve"> </w:t>
      </w:r>
      <w:r w:rsidRPr="00AB436F">
        <w:rPr>
          <w:rFonts w:ascii="Times New Roman" w:eastAsia="Times New Roman" w:hAnsi="Times New Roman" w:cs="Times New Roman"/>
          <w:strike/>
          <w:color w:val="AA0000"/>
          <w:sz w:val="24"/>
          <w:szCs w:val="24"/>
        </w:rPr>
        <w:t>within the Office of Tourism, Trade and Economic Development</w:t>
      </w:r>
      <w:r w:rsidRPr="00231F3B">
        <w:rPr>
          <w:rFonts w:ascii="Times New Roman" w:eastAsia="Times New Roman" w:hAnsi="Times New Roman" w:cs="Times New Roman"/>
          <w:sz w:val="24"/>
          <w:szCs w:val="24"/>
        </w:rPr>
        <w:t xml:space="preserve">, and the designation of the REDI counties is updated periodically. Only </w:t>
      </w:r>
      <w:r w:rsidR="00DF4D7F" w:rsidRPr="00AB436F">
        <w:rPr>
          <w:rFonts w:ascii="Times New Roman" w:eastAsia="Times New Roman" w:hAnsi="Times New Roman" w:cs="Times New Roman"/>
          <w:color w:val="AA0000"/>
          <w:sz w:val="24"/>
          <w:szCs w:val="24"/>
          <w:u w:val="single"/>
        </w:rPr>
        <w:t>rural</w:t>
      </w:r>
      <w:r w:rsidR="00DF4D7F" w:rsidRPr="00231F3B">
        <w:rPr>
          <w:rFonts w:ascii="Times New Roman" w:eastAsia="Times New Roman" w:hAnsi="Times New Roman" w:cs="Times New Roman"/>
          <w:sz w:val="24"/>
          <w:szCs w:val="24"/>
        </w:rPr>
        <w:t xml:space="preserve"> </w:t>
      </w:r>
      <w:r w:rsidRPr="00231F3B">
        <w:rPr>
          <w:rFonts w:ascii="Times New Roman" w:eastAsia="Times New Roman" w:hAnsi="Times New Roman" w:cs="Times New Roman"/>
          <w:sz w:val="24"/>
          <w:szCs w:val="24"/>
        </w:rPr>
        <w:t>counties</w:t>
      </w:r>
      <w:r w:rsidR="00DF4D7F" w:rsidRPr="00231F3B">
        <w:rPr>
          <w:rFonts w:ascii="Times New Roman" w:eastAsia="Times New Roman" w:hAnsi="Times New Roman" w:cs="Times New Roman"/>
          <w:sz w:val="24"/>
          <w:szCs w:val="24"/>
        </w:rPr>
        <w:t xml:space="preserve"> </w:t>
      </w:r>
      <w:r w:rsidR="00DF4D7F" w:rsidRPr="00AB436F">
        <w:rPr>
          <w:rFonts w:ascii="Times New Roman" w:eastAsia="Times New Roman" w:hAnsi="Times New Roman" w:cs="Times New Roman"/>
          <w:color w:val="AA0000"/>
          <w:sz w:val="24"/>
          <w:szCs w:val="24"/>
        </w:rPr>
        <w:t xml:space="preserve">and </w:t>
      </w:r>
      <w:r w:rsidR="00DF4D7F" w:rsidRPr="00AB436F">
        <w:rPr>
          <w:rFonts w:ascii="Times New Roman" w:eastAsia="Times New Roman" w:hAnsi="Times New Roman" w:cs="Times New Roman"/>
          <w:color w:val="AA0000"/>
          <w:sz w:val="24"/>
          <w:szCs w:val="24"/>
          <w:u w:val="single"/>
        </w:rPr>
        <w:t>nonrural counties with rural municipalities</w:t>
      </w:r>
      <w:r w:rsidRPr="00AB436F">
        <w:rPr>
          <w:rFonts w:ascii="Times New Roman" w:eastAsia="Times New Roman" w:hAnsi="Times New Roman" w:cs="Times New Roman"/>
          <w:color w:val="AA0000"/>
          <w:sz w:val="24"/>
          <w:szCs w:val="24"/>
        </w:rPr>
        <w:t xml:space="preserve"> </w:t>
      </w:r>
      <w:r w:rsidRPr="00231F3B">
        <w:rPr>
          <w:rFonts w:ascii="Times New Roman" w:eastAsia="Times New Roman" w:hAnsi="Times New Roman" w:cs="Times New Roman"/>
          <w:sz w:val="24"/>
          <w:szCs w:val="24"/>
        </w:rPr>
        <w:t xml:space="preserve">as identified by REDI shall be considered for participation in this funding. </w:t>
      </w:r>
    </w:p>
    <w:p w14:paraId="04EB725A" w14:textId="77777777" w:rsidR="001E356D" w:rsidRPr="00231F3B" w:rsidRDefault="001E356D" w:rsidP="001E356D">
      <w:pPr>
        <w:spacing w:after="0" w:line="259" w:lineRule="auto"/>
        <w:jc w:val="both"/>
        <w:rPr>
          <w:rFonts w:ascii="Times New Roman" w:eastAsia="Times New Roman" w:hAnsi="Times New Roman" w:cs="Times New Roman"/>
          <w:sz w:val="24"/>
          <w:szCs w:val="24"/>
        </w:rPr>
      </w:pPr>
    </w:p>
    <w:p w14:paraId="578E8EC8" w14:textId="481E85DF" w:rsidR="001E356D" w:rsidRPr="00231F3B" w:rsidRDefault="001E356D" w:rsidP="001E356D">
      <w:pPr>
        <w:spacing w:after="120" w:line="259" w:lineRule="auto"/>
        <w:jc w:val="both"/>
        <w:rPr>
          <w:rFonts w:ascii="Times New Roman" w:eastAsia="Times New Roman" w:hAnsi="Times New Roman" w:cs="Times New Roman"/>
          <w:sz w:val="24"/>
          <w:szCs w:val="24"/>
        </w:rPr>
      </w:pPr>
      <w:r w:rsidRPr="00231F3B">
        <w:rPr>
          <w:rFonts w:ascii="Times New Roman" w:eastAsia="Times New Roman" w:hAnsi="Times New Roman" w:cs="Times New Roman"/>
          <w:sz w:val="24"/>
          <w:szCs w:val="24"/>
        </w:rPr>
        <w:t xml:space="preserve">The geographic allocation by </w:t>
      </w:r>
      <w:r w:rsidR="00340317" w:rsidRPr="00AB436F">
        <w:rPr>
          <w:rFonts w:ascii="Times New Roman" w:eastAsia="Times New Roman" w:hAnsi="Times New Roman" w:cs="Times New Roman"/>
          <w:color w:val="AA0000"/>
          <w:sz w:val="24"/>
          <w:szCs w:val="24"/>
          <w:u w:val="single"/>
        </w:rPr>
        <w:t>rural</w:t>
      </w:r>
      <w:r w:rsidR="00340317" w:rsidRPr="00AB436F">
        <w:rPr>
          <w:rFonts w:ascii="Times New Roman" w:eastAsia="Times New Roman" w:hAnsi="Times New Roman" w:cs="Times New Roman"/>
          <w:color w:val="AA0000"/>
          <w:sz w:val="24"/>
          <w:szCs w:val="24"/>
        </w:rPr>
        <w:t xml:space="preserve"> </w:t>
      </w:r>
      <w:r w:rsidRPr="00231F3B">
        <w:rPr>
          <w:rFonts w:ascii="Times New Roman" w:eastAsia="Times New Roman" w:hAnsi="Times New Roman" w:cs="Times New Roman"/>
          <w:sz w:val="24"/>
          <w:szCs w:val="24"/>
        </w:rPr>
        <w:t>county will be calculated as follows:</w:t>
      </w:r>
    </w:p>
    <w:p w14:paraId="13086F51" w14:textId="77777777" w:rsidR="001E356D" w:rsidRPr="00231F3B" w:rsidRDefault="001E356D" w:rsidP="001E356D">
      <w:pPr>
        <w:pStyle w:val="ListParagraph"/>
        <w:numPr>
          <w:ilvl w:val="0"/>
          <w:numId w:val="1"/>
        </w:numPr>
        <w:spacing w:before="30" w:line="259" w:lineRule="auto"/>
        <w:jc w:val="both"/>
        <w:rPr>
          <w:rFonts w:ascii="Times New Roman" w:hAnsi="Times New Roman" w:cs="Times New Roman"/>
          <w:sz w:val="24"/>
          <w:szCs w:val="24"/>
        </w:rPr>
      </w:pPr>
      <w:r w:rsidRPr="00231F3B">
        <w:rPr>
          <w:rFonts w:ascii="Times New Roman" w:eastAsia="Times New Roman" w:hAnsi="Times New Roman" w:cs="Times New Roman"/>
          <w:sz w:val="24"/>
          <w:szCs w:val="24"/>
        </w:rPr>
        <w:t>minimum base amount of $50,000; and</w:t>
      </w:r>
    </w:p>
    <w:p w14:paraId="45A3360A" w14:textId="39119CE9" w:rsidR="001E356D" w:rsidRPr="006815D8" w:rsidRDefault="00340317" w:rsidP="001E356D">
      <w:pPr>
        <w:pStyle w:val="ListParagraph"/>
        <w:numPr>
          <w:ilvl w:val="0"/>
          <w:numId w:val="1"/>
        </w:numPr>
        <w:spacing w:line="259" w:lineRule="auto"/>
        <w:jc w:val="both"/>
        <w:rPr>
          <w:rFonts w:ascii="Times New Roman" w:hAnsi="Times New Roman" w:cs="Times New Roman"/>
          <w:sz w:val="24"/>
          <w:szCs w:val="24"/>
          <w:u w:val="single"/>
        </w:rPr>
      </w:pPr>
      <w:r w:rsidRPr="00AB436F">
        <w:rPr>
          <w:rFonts w:ascii="Times New Roman" w:eastAsia="Times New Roman" w:hAnsi="Times New Roman" w:cs="Times New Roman"/>
          <w:color w:val="AA0000"/>
          <w:sz w:val="24"/>
          <w:szCs w:val="24"/>
          <w:u w:val="single"/>
        </w:rPr>
        <w:t>inverse</w:t>
      </w:r>
      <w:r w:rsidRPr="006815D8">
        <w:rPr>
          <w:rFonts w:ascii="Times New Roman" w:eastAsia="Times New Roman" w:hAnsi="Times New Roman" w:cs="Times New Roman"/>
          <w:sz w:val="24"/>
          <w:szCs w:val="24"/>
          <w:u w:val="single"/>
        </w:rPr>
        <w:t xml:space="preserve"> </w:t>
      </w:r>
      <w:r w:rsidR="001E356D" w:rsidRPr="00231F3B">
        <w:rPr>
          <w:rFonts w:ascii="Times New Roman" w:eastAsia="Times New Roman" w:hAnsi="Times New Roman" w:cs="Times New Roman"/>
          <w:sz w:val="24"/>
          <w:szCs w:val="24"/>
        </w:rPr>
        <w:t>proportionate share of remaining funds based upon the non-seasonally adjusted labor</w:t>
      </w:r>
      <w:r w:rsidRPr="00231F3B">
        <w:rPr>
          <w:rFonts w:ascii="Times New Roman" w:eastAsia="Times New Roman" w:hAnsi="Times New Roman" w:cs="Times New Roman"/>
          <w:sz w:val="24"/>
          <w:szCs w:val="24"/>
        </w:rPr>
        <w:t xml:space="preserve"> </w:t>
      </w:r>
      <w:r w:rsidRPr="00AB436F">
        <w:rPr>
          <w:rFonts w:ascii="Times New Roman" w:eastAsia="Times New Roman" w:hAnsi="Times New Roman" w:cs="Times New Roman"/>
          <w:color w:val="AA0000"/>
          <w:sz w:val="24"/>
          <w:szCs w:val="24"/>
          <w:u w:val="single"/>
        </w:rPr>
        <w:t>force</w:t>
      </w:r>
      <w:r w:rsidR="001E356D" w:rsidRPr="00231F3B">
        <w:rPr>
          <w:rFonts w:ascii="Times New Roman" w:eastAsia="Times New Roman" w:hAnsi="Times New Roman" w:cs="Times New Roman"/>
          <w:sz w:val="24"/>
          <w:szCs w:val="24"/>
        </w:rPr>
        <w:t xml:space="preserve"> </w:t>
      </w:r>
      <w:r w:rsidR="001E356D" w:rsidRPr="00AB436F">
        <w:rPr>
          <w:rFonts w:ascii="Times New Roman" w:eastAsia="Times New Roman" w:hAnsi="Times New Roman" w:cs="Times New Roman"/>
          <w:strike/>
          <w:color w:val="AA0000"/>
          <w:sz w:val="24"/>
          <w:szCs w:val="24"/>
        </w:rPr>
        <w:t>form</w:t>
      </w:r>
      <w:r w:rsidR="001E356D" w:rsidRPr="00231F3B">
        <w:rPr>
          <w:rFonts w:ascii="Times New Roman" w:eastAsia="Times New Roman" w:hAnsi="Times New Roman" w:cs="Times New Roman"/>
          <w:sz w:val="24"/>
          <w:szCs w:val="24"/>
        </w:rPr>
        <w:t xml:space="preserve"> size for the most recently available year.</w:t>
      </w:r>
      <w:r w:rsidR="00F7661C" w:rsidRPr="00231F3B">
        <w:rPr>
          <w:rFonts w:ascii="Times New Roman" w:eastAsia="Times New Roman" w:hAnsi="Times New Roman" w:cs="Times New Roman"/>
          <w:sz w:val="24"/>
          <w:szCs w:val="24"/>
        </w:rPr>
        <w:t xml:space="preserve"> </w:t>
      </w:r>
      <w:r w:rsidR="00F7661C" w:rsidRPr="00AB436F">
        <w:rPr>
          <w:rFonts w:ascii="Times New Roman" w:eastAsia="Times New Roman" w:hAnsi="Times New Roman" w:cs="Times New Roman"/>
          <w:color w:val="AA0000"/>
          <w:sz w:val="24"/>
          <w:szCs w:val="24"/>
          <w:u w:val="single"/>
        </w:rPr>
        <w:t>The inverse proportionate share formula allows smaller districts to receive a larger share of the overall allo</w:t>
      </w:r>
      <w:r w:rsidR="0047186F" w:rsidRPr="00AB436F">
        <w:rPr>
          <w:rFonts w:ascii="Times New Roman" w:eastAsia="Times New Roman" w:hAnsi="Times New Roman" w:cs="Times New Roman"/>
          <w:color w:val="AA0000"/>
          <w:sz w:val="24"/>
          <w:szCs w:val="24"/>
          <w:u w:val="single"/>
        </w:rPr>
        <w:t>cation.</w:t>
      </w:r>
    </w:p>
    <w:p w14:paraId="0F5E9E8C" w14:textId="77777777" w:rsidR="00231F3B" w:rsidRPr="00AB436F" w:rsidRDefault="00231F3B" w:rsidP="00231F3B">
      <w:pPr>
        <w:spacing w:line="259" w:lineRule="auto"/>
        <w:jc w:val="both"/>
        <w:rPr>
          <w:rFonts w:ascii="Times New Roman" w:hAnsi="Times New Roman" w:cs="Times New Roman"/>
          <w:color w:val="AA0000"/>
          <w:sz w:val="24"/>
          <w:szCs w:val="24"/>
          <w:u w:val="single"/>
        </w:rPr>
      </w:pPr>
      <w:r w:rsidRPr="00AB436F">
        <w:rPr>
          <w:rFonts w:ascii="Times New Roman" w:hAnsi="Times New Roman" w:cs="Times New Roman"/>
          <w:color w:val="AA0000"/>
          <w:sz w:val="24"/>
          <w:szCs w:val="24"/>
          <w:u w:val="single"/>
        </w:rPr>
        <w:t xml:space="preserve">The geographic allocation for nonrural counties with rural municipalities will be calculated as follows: </w:t>
      </w:r>
    </w:p>
    <w:p w14:paraId="20B59088" w14:textId="59E3B333" w:rsidR="00231F3B" w:rsidRPr="006815D8" w:rsidRDefault="00231F3B" w:rsidP="00231F3B">
      <w:pPr>
        <w:pStyle w:val="ListParagraph"/>
        <w:numPr>
          <w:ilvl w:val="0"/>
          <w:numId w:val="2"/>
        </w:numPr>
        <w:spacing w:line="259" w:lineRule="auto"/>
        <w:jc w:val="both"/>
        <w:rPr>
          <w:rFonts w:ascii="Times New Roman" w:hAnsi="Times New Roman" w:cs="Times New Roman"/>
          <w:sz w:val="24"/>
          <w:szCs w:val="24"/>
          <w:u w:val="single"/>
        </w:rPr>
      </w:pPr>
      <w:r w:rsidRPr="00AB436F">
        <w:rPr>
          <w:rFonts w:ascii="Times New Roman" w:hAnsi="Times New Roman" w:cs="Times New Roman"/>
          <w:color w:val="AA0000"/>
          <w:sz w:val="24"/>
          <w:szCs w:val="24"/>
          <w:u w:val="single"/>
        </w:rPr>
        <w:t>base amount of $25,000 for each county with at least one rural municipality</w:t>
      </w:r>
      <w:r w:rsidRPr="006815D8">
        <w:rPr>
          <w:rFonts w:ascii="Times New Roman" w:hAnsi="Times New Roman" w:cs="Times New Roman"/>
          <w:sz w:val="24"/>
          <w:szCs w:val="24"/>
          <w:u w:val="single"/>
        </w:rPr>
        <w:t>.</w:t>
      </w:r>
    </w:p>
    <w:p w14:paraId="215CFFA4" w14:textId="1DB112EE" w:rsidR="001E356D" w:rsidRPr="00231F3B" w:rsidRDefault="001E356D" w:rsidP="001E356D">
      <w:pPr>
        <w:spacing w:line="259" w:lineRule="auto"/>
        <w:jc w:val="both"/>
        <w:rPr>
          <w:rFonts w:ascii="Times New Roman" w:eastAsia="Times New Roman" w:hAnsi="Times New Roman" w:cs="Times New Roman"/>
          <w:sz w:val="24"/>
          <w:szCs w:val="24"/>
        </w:rPr>
      </w:pPr>
      <w:r w:rsidRPr="00231F3B">
        <w:rPr>
          <w:rFonts w:ascii="Times New Roman" w:eastAsia="Times New Roman" w:hAnsi="Times New Roman" w:cs="Times New Roman"/>
          <w:sz w:val="24"/>
          <w:szCs w:val="24"/>
        </w:rPr>
        <w:t>Eligible recipients providing secondary and postsecondary programs in the geographic area will be required to submit a joint application based upon a local agreement. The local agreement on use of the Rural Innovation Grant funds must include the school district, any district postsecondary institution serving the county and the FCS institution serving the county. The fiscal arrangement for funds must include documentation that the students served with the funds are from the rural count</w:t>
      </w:r>
      <w:r w:rsidR="008319AB">
        <w:rPr>
          <w:rFonts w:ascii="Times New Roman" w:eastAsia="Times New Roman" w:hAnsi="Times New Roman" w:cs="Times New Roman"/>
          <w:sz w:val="24"/>
          <w:szCs w:val="24"/>
        </w:rPr>
        <w:t>/</w:t>
      </w:r>
      <w:r w:rsidR="008319AB" w:rsidRPr="00AB436F">
        <w:rPr>
          <w:rFonts w:ascii="Times New Roman" w:eastAsia="Times New Roman" w:hAnsi="Times New Roman" w:cs="Times New Roman"/>
          <w:color w:val="AA0000"/>
          <w:sz w:val="24"/>
          <w:szCs w:val="24"/>
          <w:u w:val="single"/>
        </w:rPr>
        <w:t>rural municipalities</w:t>
      </w:r>
      <w:r w:rsidR="001E3AF4" w:rsidRPr="00AB436F">
        <w:rPr>
          <w:rFonts w:ascii="Times New Roman" w:eastAsia="Times New Roman" w:hAnsi="Times New Roman" w:cs="Times New Roman"/>
          <w:color w:val="AA0000"/>
          <w:sz w:val="24"/>
          <w:szCs w:val="24"/>
          <w:u w:val="single"/>
        </w:rPr>
        <w:t xml:space="preserve"> or receiving services in the county or municipalities</w:t>
      </w:r>
      <w:r w:rsidRPr="00AB436F">
        <w:rPr>
          <w:rFonts w:ascii="Times New Roman" w:eastAsia="Times New Roman" w:hAnsi="Times New Roman" w:cs="Times New Roman"/>
          <w:color w:val="AA0000"/>
          <w:sz w:val="24"/>
          <w:szCs w:val="24"/>
        </w:rPr>
        <w:t xml:space="preserve"> </w:t>
      </w:r>
      <w:r w:rsidRPr="00231F3B">
        <w:rPr>
          <w:rFonts w:ascii="Times New Roman" w:eastAsia="Times New Roman" w:hAnsi="Times New Roman" w:cs="Times New Roman"/>
          <w:sz w:val="24"/>
          <w:szCs w:val="24"/>
        </w:rPr>
        <w:t xml:space="preserve">and must reflect the project and the size of the population (secondary and postsecondary) impacted by the funds. </w:t>
      </w:r>
    </w:p>
    <w:p w14:paraId="07C80089" w14:textId="77777777" w:rsidR="001E356D" w:rsidRPr="00231F3B" w:rsidRDefault="001E356D" w:rsidP="001E356D">
      <w:pPr>
        <w:spacing w:line="259" w:lineRule="auto"/>
        <w:jc w:val="both"/>
        <w:rPr>
          <w:rFonts w:ascii="Times New Roman" w:eastAsia="Times New Roman" w:hAnsi="Times New Roman" w:cs="Times New Roman"/>
          <w:sz w:val="24"/>
          <w:szCs w:val="24"/>
        </w:rPr>
      </w:pPr>
      <w:r w:rsidRPr="00231F3B">
        <w:rPr>
          <w:rFonts w:ascii="Times New Roman" w:eastAsia="Times New Roman" w:hAnsi="Times New Roman" w:cs="Times New Roman"/>
          <w:sz w:val="24"/>
          <w:szCs w:val="24"/>
        </w:rPr>
        <w:t xml:space="preserve">If all eligible recipients cannot reach an agreement on the use of funds, FDOE will select the fiscal agency and make allocation decisions based upon the number of students served in the county with </w:t>
      </w:r>
      <w:r w:rsidRPr="00231F3B">
        <w:rPr>
          <w:rFonts w:ascii="Times New Roman" w:eastAsia="Times New Roman" w:hAnsi="Times New Roman" w:cs="Times New Roman"/>
          <w:sz w:val="24"/>
          <w:szCs w:val="24"/>
        </w:rPr>
        <w:lastRenderedPageBreak/>
        <w:t>the proposed use of funds.</w:t>
      </w:r>
    </w:p>
    <w:p w14:paraId="1EC945F6" w14:textId="77777777" w:rsidR="001E356D" w:rsidRPr="00AB436F" w:rsidRDefault="001E356D" w:rsidP="001E356D">
      <w:pPr>
        <w:spacing w:line="259" w:lineRule="auto"/>
        <w:jc w:val="both"/>
        <w:rPr>
          <w:rFonts w:ascii="Times New Roman" w:eastAsia="Times New Roman" w:hAnsi="Times New Roman" w:cs="Times New Roman"/>
          <w:strike/>
          <w:color w:val="AA0000"/>
          <w:sz w:val="24"/>
          <w:szCs w:val="24"/>
        </w:rPr>
      </w:pPr>
      <w:r w:rsidRPr="00AB436F">
        <w:rPr>
          <w:rFonts w:ascii="Times New Roman" w:eastAsia="Times New Roman" w:hAnsi="Times New Roman" w:cs="Times New Roman"/>
          <w:strike/>
          <w:color w:val="AA0000"/>
          <w:sz w:val="24"/>
          <w:szCs w:val="24"/>
        </w:rPr>
        <w:t xml:space="preserve">While the current Rural Innovation Grants address the needs of CTE students residing in rural counties, feedback during the State Plan public comment period indicated that consideration should be given to rural communities located within counties not designated as “rural.” Many of the state’s larger counties, for example, have significant rural populations that face many of the same challenges as rural-designated districts that receive additional grants through the Reserve Fund. During the first year of the Plan, FDOE will further investigate the unique needs of these communities to determine if an expansion of the Rural Innovation Grants, or other accommodations, are warranted. </w:t>
      </w:r>
    </w:p>
    <w:p w14:paraId="2A8DBF11" w14:textId="77777777" w:rsidR="00E70F01" w:rsidRPr="00231F3B" w:rsidRDefault="00E70F01">
      <w:pPr>
        <w:rPr>
          <w:rFonts w:ascii="Times New Roman" w:hAnsi="Times New Roman" w:cs="Times New Roman"/>
          <w:sz w:val="24"/>
          <w:szCs w:val="24"/>
        </w:rPr>
      </w:pPr>
    </w:p>
    <w:sectPr w:rsidR="00E70F01" w:rsidRPr="00231F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A357C"/>
    <w:multiLevelType w:val="hybridMultilevel"/>
    <w:tmpl w:val="12D82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261407"/>
    <w:multiLevelType w:val="hybridMultilevel"/>
    <w:tmpl w:val="0F0C92A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2FD6A074">
      <w:start w:val="1"/>
      <w:numFmt w:val="lowerRoman"/>
      <w:lvlText w:val="%3."/>
      <w:lvlJc w:val="right"/>
      <w:pPr>
        <w:ind w:left="2160" w:hanging="180"/>
      </w:pPr>
    </w:lvl>
    <w:lvl w:ilvl="3" w:tplc="E98403CE">
      <w:start w:val="1"/>
      <w:numFmt w:val="decimal"/>
      <w:lvlText w:val="%4."/>
      <w:lvlJc w:val="left"/>
      <w:pPr>
        <w:ind w:left="2880" w:hanging="360"/>
      </w:pPr>
    </w:lvl>
    <w:lvl w:ilvl="4" w:tplc="32600588">
      <w:start w:val="1"/>
      <w:numFmt w:val="lowerLetter"/>
      <w:lvlText w:val="%5."/>
      <w:lvlJc w:val="left"/>
      <w:pPr>
        <w:ind w:left="3600" w:hanging="360"/>
      </w:pPr>
    </w:lvl>
    <w:lvl w:ilvl="5" w:tplc="AD3428E0">
      <w:start w:val="1"/>
      <w:numFmt w:val="lowerRoman"/>
      <w:lvlText w:val="%6."/>
      <w:lvlJc w:val="right"/>
      <w:pPr>
        <w:ind w:left="4320" w:hanging="180"/>
      </w:pPr>
    </w:lvl>
    <w:lvl w:ilvl="6" w:tplc="78A25A28">
      <w:start w:val="1"/>
      <w:numFmt w:val="decimal"/>
      <w:lvlText w:val="%7."/>
      <w:lvlJc w:val="left"/>
      <w:pPr>
        <w:ind w:left="5040" w:hanging="360"/>
      </w:pPr>
    </w:lvl>
    <w:lvl w:ilvl="7" w:tplc="478077E2">
      <w:start w:val="1"/>
      <w:numFmt w:val="lowerLetter"/>
      <w:lvlText w:val="%8."/>
      <w:lvlJc w:val="left"/>
      <w:pPr>
        <w:ind w:left="5760" w:hanging="360"/>
      </w:pPr>
    </w:lvl>
    <w:lvl w:ilvl="8" w:tplc="9202F292">
      <w:start w:val="1"/>
      <w:numFmt w:val="lowerRoman"/>
      <w:lvlText w:val="%9."/>
      <w:lvlJc w:val="right"/>
      <w:pPr>
        <w:ind w:left="6480" w:hanging="180"/>
      </w:pPr>
    </w:lvl>
  </w:abstractNum>
  <w:num w:numId="1" w16cid:durableId="363091679">
    <w:abstractNumId w:val="1"/>
  </w:num>
  <w:num w:numId="2" w16cid:durableId="601494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56D"/>
    <w:rsid w:val="0000526C"/>
    <w:rsid w:val="001E356D"/>
    <w:rsid w:val="001E3AF4"/>
    <w:rsid w:val="002172E2"/>
    <w:rsid w:val="00231F3B"/>
    <w:rsid w:val="00280DE5"/>
    <w:rsid w:val="00340317"/>
    <w:rsid w:val="0047186F"/>
    <w:rsid w:val="004B5C53"/>
    <w:rsid w:val="004E75B4"/>
    <w:rsid w:val="005B485E"/>
    <w:rsid w:val="005C5CA7"/>
    <w:rsid w:val="006351E2"/>
    <w:rsid w:val="006815D8"/>
    <w:rsid w:val="0078553A"/>
    <w:rsid w:val="007A3C0B"/>
    <w:rsid w:val="008319AB"/>
    <w:rsid w:val="00A22265"/>
    <w:rsid w:val="00A25F88"/>
    <w:rsid w:val="00A53037"/>
    <w:rsid w:val="00AB436F"/>
    <w:rsid w:val="00D84E4D"/>
    <w:rsid w:val="00DF4D7F"/>
    <w:rsid w:val="00E70F01"/>
    <w:rsid w:val="00F7661C"/>
    <w:rsid w:val="00FF1EA0"/>
    <w:rsid w:val="21C73F07"/>
    <w:rsid w:val="27EFE136"/>
    <w:rsid w:val="40BBBB07"/>
    <w:rsid w:val="4D81C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ABFE6"/>
  <w15:chartTrackingRefBased/>
  <w15:docId w15:val="{0A266817-59F9-42A0-B52E-E0825AFEA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56D"/>
    <w:pPr>
      <w:widowControl w:val="0"/>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1E35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35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35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35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35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35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35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35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35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5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35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35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35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35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35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35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35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356D"/>
    <w:rPr>
      <w:rFonts w:eastAsiaTheme="majorEastAsia" w:cstheme="majorBidi"/>
      <w:color w:val="272727" w:themeColor="text1" w:themeTint="D8"/>
    </w:rPr>
  </w:style>
  <w:style w:type="paragraph" w:styleId="Title">
    <w:name w:val="Title"/>
    <w:basedOn w:val="Normal"/>
    <w:next w:val="Normal"/>
    <w:link w:val="TitleChar"/>
    <w:uiPriority w:val="10"/>
    <w:qFormat/>
    <w:rsid w:val="001E35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35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35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35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356D"/>
    <w:pPr>
      <w:spacing w:before="160"/>
      <w:jc w:val="center"/>
    </w:pPr>
    <w:rPr>
      <w:i/>
      <w:iCs/>
      <w:color w:val="404040" w:themeColor="text1" w:themeTint="BF"/>
    </w:rPr>
  </w:style>
  <w:style w:type="character" w:customStyle="1" w:styleId="QuoteChar">
    <w:name w:val="Quote Char"/>
    <w:basedOn w:val="DefaultParagraphFont"/>
    <w:link w:val="Quote"/>
    <w:uiPriority w:val="29"/>
    <w:rsid w:val="001E356D"/>
    <w:rPr>
      <w:i/>
      <w:iCs/>
      <w:color w:val="404040" w:themeColor="text1" w:themeTint="BF"/>
    </w:rPr>
  </w:style>
  <w:style w:type="paragraph" w:styleId="ListParagraph">
    <w:name w:val="List Paragraph"/>
    <w:basedOn w:val="Normal"/>
    <w:link w:val="ListParagraphChar"/>
    <w:uiPriority w:val="34"/>
    <w:qFormat/>
    <w:rsid w:val="001E356D"/>
    <w:pPr>
      <w:ind w:left="720"/>
      <w:contextualSpacing/>
    </w:pPr>
  </w:style>
  <w:style w:type="character" w:styleId="IntenseEmphasis">
    <w:name w:val="Intense Emphasis"/>
    <w:basedOn w:val="DefaultParagraphFont"/>
    <w:uiPriority w:val="21"/>
    <w:qFormat/>
    <w:rsid w:val="001E356D"/>
    <w:rPr>
      <w:i/>
      <w:iCs/>
      <w:color w:val="0F4761" w:themeColor="accent1" w:themeShade="BF"/>
    </w:rPr>
  </w:style>
  <w:style w:type="paragraph" w:styleId="IntenseQuote">
    <w:name w:val="Intense Quote"/>
    <w:basedOn w:val="Normal"/>
    <w:next w:val="Normal"/>
    <w:link w:val="IntenseQuoteChar"/>
    <w:uiPriority w:val="30"/>
    <w:qFormat/>
    <w:rsid w:val="001E35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356D"/>
    <w:rPr>
      <w:i/>
      <w:iCs/>
      <w:color w:val="0F4761" w:themeColor="accent1" w:themeShade="BF"/>
    </w:rPr>
  </w:style>
  <w:style w:type="character" w:styleId="IntenseReference">
    <w:name w:val="Intense Reference"/>
    <w:basedOn w:val="DefaultParagraphFont"/>
    <w:uiPriority w:val="32"/>
    <w:qFormat/>
    <w:rsid w:val="001E356D"/>
    <w:rPr>
      <w:b/>
      <w:bCs/>
      <w:smallCaps/>
      <w:color w:val="0F4761" w:themeColor="accent1" w:themeShade="BF"/>
      <w:spacing w:val="5"/>
    </w:rPr>
  </w:style>
  <w:style w:type="character" w:customStyle="1" w:styleId="ListParagraphChar">
    <w:name w:val="List Paragraph Char"/>
    <w:link w:val="ListParagraph"/>
    <w:uiPriority w:val="34"/>
    <w:locked/>
    <w:rsid w:val="001E3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f5a81c-bbf4-4c98-8785-4c436d8db095" xsi:nil="true"/>
    <_ip_UnifiedCompliancePolicyUIAction xmlns="http://schemas.microsoft.com/sharepoint/v3" xsi:nil="true"/>
    <_ip_UnifiedCompliancePolicyProperties xmlns="http://schemas.microsoft.com/sharepoint/v3" xsi:nil="true"/>
    <lcf76f155ced4ddcb4097134ff3c332f xmlns="c9bf6b9b-2955-4b05-abb5-67c5f242b44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4543130EE2104FABBA4B224C2FF6B6" ma:contentTypeVersion="18" ma:contentTypeDescription="Create a new document." ma:contentTypeScope="" ma:versionID="5662280e6240c69c97d75eec0b3aa50f">
  <xsd:schema xmlns:xsd="http://www.w3.org/2001/XMLSchema" xmlns:xs="http://www.w3.org/2001/XMLSchema" xmlns:p="http://schemas.microsoft.com/office/2006/metadata/properties" xmlns:ns1="http://schemas.microsoft.com/sharepoint/v3" xmlns:ns2="2bf5a81c-bbf4-4c98-8785-4c436d8db095" xmlns:ns3="c9bf6b9b-2955-4b05-abb5-67c5f242b44d" targetNamespace="http://schemas.microsoft.com/office/2006/metadata/properties" ma:root="true" ma:fieldsID="40e10c1fe32a1638784d710ffdc4a913" ns1:_="" ns2:_="" ns3:_="">
    <xsd:import namespace="http://schemas.microsoft.com/sharepoint/v3"/>
    <xsd:import namespace="2bf5a81c-bbf4-4c98-8785-4c436d8db095"/>
    <xsd:import namespace="c9bf6b9b-2955-4b05-abb5-67c5f242b4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ObjectDetectorVersions"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f5a81c-bbf4-4c98-8785-4c436d8db0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c6318bd-2b04-4861-b999-24c3f24d08b8}" ma:internalName="TaxCatchAll" ma:showField="CatchAllData" ma:web="2bf5a81c-bbf4-4c98-8785-4c436d8db0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bf6b9b-2955-4b05-abb5-67c5f242b4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5cd2bc-5de8-4524-ad36-9f676da3af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4F51D6-8506-4422-A18E-CC2894D21DC9}">
  <ds:schemaRefs>
    <ds:schemaRef ds:uri="http://schemas.microsoft.com/office/2006/metadata/properties"/>
    <ds:schemaRef ds:uri="http://schemas.microsoft.com/office/infopath/2007/PartnerControls"/>
    <ds:schemaRef ds:uri="2bf5a81c-bbf4-4c98-8785-4c436d8db095"/>
    <ds:schemaRef ds:uri="http://schemas.microsoft.com/sharepoint/v3"/>
    <ds:schemaRef ds:uri="c9bf6b9b-2955-4b05-abb5-67c5f242b44d"/>
  </ds:schemaRefs>
</ds:datastoreItem>
</file>

<file path=customXml/itemProps2.xml><?xml version="1.0" encoding="utf-8"?>
<ds:datastoreItem xmlns:ds="http://schemas.openxmlformats.org/officeDocument/2006/customXml" ds:itemID="{3FD0BDB4-7291-4D69-8D58-C8BB6196C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f5a81c-bbf4-4c98-8785-4c436d8db095"/>
    <ds:schemaRef ds:uri="c9bf6b9b-2955-4b05-abb5-67c5f242b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EEAE2-51C2-49B9-BA15-C75403E090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550</Words>
  <Characters>3135</Characters>
  <Application>Microsoft Office Word</Application>
  <DocSecurity>0</DocSecurity>
  <Lines>26</Lines>
  <Paragraphs>7</Paragraphs>
  <ScaleCrop>false</ScaleCrop>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Harrington, Bruce</dc:creator>
  <cp:keywords/>
  <dc:description/>
  <cp:lastModifiedBy>Sarah Harmon</cp:lastModifiedBy>
  <cp:revision>19</cp:revision>
  <dcterms:created xsi:type="dcterms:W3CDTF">2026-02-11T21:13:00Z</dcterms:created>
  <dcterms:modified xsi:type="dcterms:W3CDTF">2026-03-20T18:26:00Z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0x010100FA4543130EE2104FABBA4B224C2FF6B6</vt:lpwstr>
  </property>
  <property fmtid="{D5CDD505-2E9C-101B-9397-08002B2CF9AE}" pid="3" name="MediaServiceImageTags">
    <vt:lpwstr/>
  </property>
</Properties>
</file>